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FB90D" w14:textId="2A58F061" w:rsidR="009E041D" w:rsidRPr="009E041D" w:rsidRDefault="009E041D" w:rsidP="009D19B5">
      <w:pPr>
        <w:pStyle w:val="Titre2"/>
        <w:pBdr>
          <w:bottom w:val="single" w:sz="24" w:space="5" w:color="007BBE"/>
        </w:pBdr>
        <w:shd w:val="clear" w:color="auto" w:fill="FFFFFF"/>
        <w:spacing w:before="0" w:beforeAutospacing="0" w:after="285" w:afterAutospacing="0" w:line="293" w:lineRule="atLeast"/>
        <w:jc w:val="both"/>
        <w:rPr>
          <w:rFonts w:ascii="Arial" w:hAnsi="Arial" w:cs="Arial"/>
          <w:b w:val="0"/>
          <w:bCs w:val="0"/>
          <w:color w:val="0C0C0C"/>
          <w:sz w:val="39"/>
          <w:szCs w:val="39"/>
        </w:rPr>
      </w:pPr>
      <w:bookmarkStart w:id="0" w:name="_GoBack"/>
      <w:bookmarkEnd w:id="0"/>
      <w:r w:rsidRPr="009E041D">
        <w:rPr>
          <w:rFonts w:ascii="Arial" w:hAnsi="Arial" w:cs="Arial"/>
          <w:b w:val="0"/>
          <w:bCs w:val="0"/>
          <w:color w:val="0C0C0C"/>
          <w:sz w:val="39"/>
          <w:szCs w:val="39"/>
        </w:rPr>
        <w:t xml:space="preserve">Programme </w:t>
      </w:r>
      <w:proofErr w:type="spellStart"/>
      <w:r w:rsidRPr="009E041D">
        <w:rPr>
          <w:rFonts w:ascii="Arial" w:hAnsi="Arial" w:cs="Arial"/>
          <w:b w:val="0"/>
          <w:bCs w:val="0"/>
          <w:color w:val="0C0C0C"/>
          <w:sz w:val="39"/>
          <w:szCs w:val="39"/>
        </w:rPr>
        <w:t>DPC</w:t>
      </w:r>
      <w:proofErr w:type="spellEnd"/>
    </w:p>
    <w:p w14:paraId="6ABFB90E" w14:textId="30A0E558" w:rsidR="009E041D" w:rsidRPr="009E041D" w:rsidRDefault="009E041D" w:rsidP="009D19B5">
      <w:pPr>
        <w:shd w:val="clear" w:color="auto" w:fill="FFFFFF"/>
        <w:spacing w:after="0" w:line="293" w:lineRule="atLeast"/>
        <w:jc w:val="both"/>
        <w:outlineLvl w:val="2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  <w:bookmarkStart w:id="1" w:name="eztoc2217661_1"/>
      <w:bookmarkStart w:id="2" w:name="eztoc2217661_1_1"/>
      <w:bookmarkEnd w:id="1"/>
      <w:bookmarkEnd w:id="2"/>
      <w:r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Qu'est-ce que le</w:t>
      </w:r>
      <w:r w:rsidR="00182874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</w:t>
      </w:r>
      <w:r w:rsidR="00182874"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Développement Professionnel Continu</w:t>
      </w:r>
      <w:r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</w:t>
      </w:r>
      <w:proofErr w:type="spellStart"/>
      <w:r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DPC</w:t>
      </w:r>
      <w:proofErr w:type="spellEnd"/>
      <w:r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?</w:t>
      </w:r>
    </w:p>
    <w:p w14:paraId="6ABFB90F" w14:textId="17DC42AA" w:rsidR="009E041D" w:rsidRDefault="009E041D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C0C0C"/>
          <w:sz w:val="18"/>
          <w:szCs w:val="18"/>
          <w:lang w:eastAsia="fr-FR"/>
        </w:rPr>
      </w:pP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Le Développement Professionnel Continu (</w:t>
      </w:r>
      <w:proofErr w:type="spellStart"/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DPC</w:t>
      </w:r>
      <w:proofErr w:type="spellEnd"/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) est une obligation que chaque professionnel de santé doit satisfaire </w:t>
      </w:r>
      <w:r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dans le cadre d’un parcours de </w:t>
      </w: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 trois ans en participant </w:t>
      </w:r>
      <w:r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plusieurs actions de </w:t>
      </w:r>
      <w:proofErr w:type="spellStart"/>
      <w:r>
        <w:rPr>
          <w:rFonts w:ascii="Arial" w:eastAsia="Times New Roman" w:hAnsi="Arial" w:cs="Arial"/>
          <w:color w:val="0C0C0C"/>
          <w:sz w:val="18"/>
          <w:szCs w:val="18"/>
          <w:lang w:eastAsia="fr-FR"/>
        </w:rPr>
        <w:t>DPC</w:t>
      </w:r>
      <w:proofErr w:type="spellEnd"/>
      <w:r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 (au moins deux sur trois ans).</w:t>
      </w:r>
    </w:p>
    <w:p w14:paraId="6ABFB910" w14:textId="7E9E59E3" w:rsidR="009E041D" w:rsidRDefault="009E041D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C0C0C"/>
          <w:sz w:val="18"/>
          <w:szCs w:val="18"/>
          <w:lang w:eastAsia="fr-FR"/>
        </w:rPr>
      </w:pP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Le </w:t>
      </w:r>
      <w:proofErr w:type="spellStart"/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DPC</w:t>
      </w:r>
      <w:proofErr w:type="spellEnd"/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 a pour objectif l’amélioration de la qualité des soins selon les méthodes et les modalités définies par la HAS associant deux activités : la mise à jour ou l’acquisition de connaissances, qui peut notamment se faire dans le cadre de la participation </w:t>
      </w:r>
      <w:r w:rsidR="00182874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à un </w:t>
      </w: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 Congrès et l’analyse des pratiques professionnelles assurée par </w:t>
      </w:r>
      <w:r w:rsidR="007F7954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Be One Santé</w:t>
      </w: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 en aval du Congrès.</w:t>
      </w:r>
    </w:p>
    <w:p w14:paraId="6ABFB911" w14:textId="77777777" w:rsidR="009E041D" w:rsidRPr="009E041D" w:rsidRDefault="009E041D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C0C0C"/>
          <w:sz w:val="18"/>
          <w:szCs w:val="18"/>
          <w:lang w:eastAsia="fr-FR"/>
        </w:rPr>
      </w:pPr>
    </w:p>
    <w:p w14:paraId="6ABFB912" w14:textId="24CCA4AC" w:rsidR="009E041D" w:rsidRDefault="009E041D" w:rsidP="009D19B5">
      <w:pPr>
        <w:shd w:val="clear" w:color="auto" w:fill="FFFFFF"/>
        <w:spacing w:after="0" w:line="293" w:lineRule="atLeast"/>
        <w:jc w:val="both"/>
        <w:outlineLvl w:val="2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  <w:bookmarkStart w:id="3" w:name="eztoc2217661_1_2"/>
      <w:bookmarkEnd w:id="3"/>
      <w:r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A qui </w:t>
      </w:r>
      <w:r w:rsidR="008361B4"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s’adresse</w:t>
      </w:r>
      <w:r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</w:t>
      </w:r>
      <w:r w:rsidR="00A512E6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le  programme</w:t>
      </w:r>
      <w:r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de </w:t>
      </w:r>
      <w:proofErr w:type="spellStart"/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DPC</w:t>
      </w:r>
      <w:proofErr w:type="spellEnd"/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 du congrès </w:t>
      </w:r>
      <w:r w:rsid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de la</w:t>
      </w:r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</w:t>
      </w:r>
      <w:proofErr w:type="spellStart"/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SoFOG</w:t>
      </w:r>
      <w:proofErr w:type="spellEnd"/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2017</w:t>
      </w:r>
      <w:r w:rsidR="007F7954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 ?</w:t>
      </w:r>
    </w:p>
    <w:p w14:paraId="02BD2AC2" w14:textId="1A2A0D8D" w:rsidR="008361B4" w:rsidRPr="009E041D" w:rsidRDefault="008361B4" w:rsidP="007F7954">
      <w:pPr>
        <w:shd w:val="clear" w:color="auto" w:fill="FFFFFF"/>
        <w:spacing w:after="0" w:line="293" w:lineRule="atLeast"/>
        <w:jc w:val="both"/>
        <w:outlineLvl w:val="2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</w:p>
    <w:p w14:paraId="5988920D" w14:textId="698E48C4" w:rsidR="005C44BD" w:rsidRPr="005C44BD" w:rsidRDefault="00C03D9E" w:rsidP="005C44BD">
      <w:pPr>
        <w:shd w:val="clear" w:color="auto" w:fill="FFFFFF"/>
        <w:spacing w:after="0" w:line="293" w:lineRule="atLeast"/>
        <w:jc w:val="both"/>
        <w:outlineLvl w:val="2"/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</w:pPr>
      <w:bookmarkStart w:id="4" w:name="eztoc2217661_1_3"/>
      <w:bookmarkStart w:id="5" w:name="eztoc2217661_1_4"/>
      <w:bookmarkEnd w:id="4"/>
      <w:bookmarkEnd w:id="5"/>
      <w:r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  <w:t>Aux médecins spécialistes suivants :</w:t>
      </w:r>
    </w:p>
    <w:p w14:paraId="6757F0C9" w14:textId="77777777" w:rsidR="005C44BD" w:rsidRPr="005C44BD" w:rsidRDefault="005C44BD" w:rsidP="005C44BD">
      <w:pPr>
        <w:shd w:val="clear" w:color="auto" w:fill="FFFFFF"/>
        <w:spacing w:after="0" w:line="293" w:lineRule="atLeast"/>
        <w:jc w:val="both"/>
        <w:outlineLvl w:val="2"/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</w:pPr>
      <w:r w:rsidRPr="005C44BD"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  <w:t>- Chirurgie viscérale et digestive</w:t>
      </w:r>
    </w:p>
    <w:p w14:paraId="33BD36B9" w14:textId="77777777" w:rsidR="005C44BD" w:rsidRPr="005C44BD" w:rsidRDefault="005C44BD" w:rsidP="005C44BD">
      <w:pPr>
        <w:shd w:val="clear" w:color="auto" w:fill="FFFFFF"/>
        <w:spacing w:after="0" w:line="293" w:lineRule="atLeast"/>
        <w:jc w:val="both"/>
        <w:outlineLvl w:val="2"/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</w:pPr>
      <w:r w:rsidRPr="005C44BD"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  <w:t>- Gastro-entérologie et hépatologie</w:t>
      </w:r>
    </w:p>
    <w:p w14:paraId="7CE919AA" w14:textId="77777777" w:rsidR="005C44BD" w:rsidRPr="005C44BD" w:rsidRDefault="005C44BD" w:rsidP="005C44BD">
      <w:pPr>
        <w:shd w:val="clear" w:color="auto" w:fill="FFFFFF"/>
        <w:spacing w:after="0" w:line="293" w:lineRule="atLeast"/>
        <w:jc w:val="both"/>
        <w:outlineLvl w:val="2"/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</w:pPr>
      <w:r w:rsidRPr="005C44BD"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  <w:t>- Gériatrie / Gérontologie</w:t>
      </w:r>
    </w:p>
    <w:p w14:paraId="1A97A04A" w14:textId="158A9362" w:rsidR="005B6C89" w:rsidRDefault="005C44BD" w:rsidP="005C44BD">
      <w:pPr>
        <w:shd w:val="clear" w:color="auto" w:fill="FFFFFF"/>
        <w:spacing w:after="0" w:line="293" w:lineRule="atLeast"/>
        <w:jc w:val="both"/>
        <w:outlineLvl w:val="2"/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</w:pPr>
      <w:r w:rsidRPr="005C44BD">
        <w:rPr>
          <w:rFonts w:ascii="Helvetica" w:eastAsia="Times New Roman" w:hAnsi="Helvetica" w:cs="Times New Roman"/>
          <w:color w:val="646464"/>
          <w:sz w:val="21"/>
          <w:szCs w:val="21"/>
          <w:lang w:eastAsia="fr-FR"/>
        </w:rPr>
        <w:t>- Oncologie médicale</w:t>
      </w:r>
    </w:p>
    <w:p w14:paraId="128A82FD" w14:textId="77777777" w:rsidR="00C03D9E" w:rsidRDefault="00C03D9E" w:rsidP="005C44BD">
      <w:pPr>
        <w:shd w:val="clear" w:color="auto" w:fill="FFFFFF"/>
        <w:spacing w:after="0" w:line="293" w:lineRule="atLeast"/>
        <w:jc w:val="both"/>
        <w:outlineLvl w:val="2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</w:p>
    <w:p w14:paraId="6ABFB915" w14:textId="2E79867A" w:rsidR="009E041D" w:rsidRDefault="009E041D" w:rsidP="009D19B5">
      <w:pPr>
        <w:shd w:val="clear" w:color="auto" w:fill="FFFFFF"/>
        <w:spacing w:after="0" w:line="293" w:lineRule="atLeast"/>
        <w:jc w:val="both"/>
        <w:outlineLvl w:val="2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  <w:r w:rsidRPr="009E041D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Comment </w:t>
      </w:r>
      <w:r w:rsidR="009D19B5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s’inscrire au programme de </w:t>
      </w:r>
      <w:proofErr w:type="spellStart"/>
      <w:r w:rsidR="009D19B5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DPC</w:t>
      </w:r>
      <w:proofErr w:type="spellEnd"/>
      <w:r w:rsidR="009D19B5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</w:t>
      </w:r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du congrès </w:t>
      </w:r>
      <w:r w:rsid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de la</w:t>
      </w:r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</w:t>
      </w:r>
      <w:proofErr w:type="spellStart"/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SoFOG</w:t>
      </w:r>
      <w:proofErr w:type="spellEnd"/>
      <w:r w:rsidR="00C03D9E" w:rsidRP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 2017</w:t>
      </w:r>
      <w:r w:rsidR="00C03D9E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 </w:t>
      </w:r>
      <w:r w:rsidR="005B6C89">
        <w:rPr>
          <w:rFonts w:ascii="Arial" w:eastAsia="Times New Roman" w:hAnsi="Arial" w:cs="Arial"/>
          <w:color w:val="777777"/>
          <w:sz w:val="24"/>
          <w:szCs w:val="24"/>
          <w:lang w:eastAsia="fr-FR"/>
        </w:rPr>
        <w:t xml:space="preserve">Limoges </w:t>
      </w:r>
      <w:r w:rsidR="008361B4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?</w:t>
      </w:r>
    </w:p>
    <w:p w14:paraId="2956127E" w14:textId="3585E2F9" w:rsidR="008361B4" w:rsidRPr="009E041D" w:rsidRDefault="008361B4" w:rsidP="009D19B5">
      <w:pPr>
        <w:shd w:val="clear" w:color="auto" w:fill="FFFFFF"/>
        <w:spacing w:after="0" w:line="293" w:lineRule="atLeast"/>
        <w:jc w:val="both"/>
        <w:outlineLvl w:val="2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</w:p>
    <w:p w14:paraId="6ABFB917" w14:textId="0DD820C5" w:rsidR="009E041D" w:rsidRDefault="009E041D" w:rsidP="009D19B5">
      <w:pPr>
        <w:shd w:val="clear" w:color="auto" w:fill="FFFFFF"/>
        <w:spacing w:after="0" w:line="293" w:lineRule="atLeast"/>
        <w:jc w:val="both"/>
        <w:rPr>
          <w:b/>
        </w:rPr>
      </w:pPr>
      <w:r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>Vous po</w:t>
      </w:r>
      <w:r w:rsidR="009D19B5"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>uvez vous inscrire au programme </w:t>
      </w:r>
      <w:r w:rsidR="00825E5F"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 xml:space="preserve">de </w:t>
      </w:r>
      <w:proofErr w:type="spellStart"/>
      <w:r w:rsidR="00825E5F"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>DPC</w:t>
      </w:r>
      <w:proofErr w:type="spellEnd"/>
      <w:r w:rsidR="00825E5F"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 xml:space="preserve"> incluant la participation au congrès et l’analyse des pratiques </w:t>
      </w:r>
      <w:r w:rsidR="009D19B5"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 xml:space="preserve"> que vous soyez libéral ou </w:t>
      </w:r>
      <w:r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>hospitalier, </w:t>
      </w:r>
      <w:r w:rsidR="00825E5F"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 xml:space="preserve">directement auprès de notre organisme de </w:t>
      </w:r>
      <w:proofErr w:type="spellStart"/>
      <w:r w:rsidR="00825E5F" w:rsidRPr="00825E5F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>DPC</w:t>
      </w:r>
      <w:proofErr w:type="spellEnd"/>
      <w:r w:rsidR="004678F0" w:rsidRPr="00825E5F">
        <w:rPr>
          <w:b/>
        </w:rPr>
        <w:t xml:space="preserve"> : </w:t>
      </w:r>
    </w:p>
    <w:p w14:paraId="727501EF" w14:textId="329DEDE3" w:rsidR="00825E5F" w:rsidRPr="00825E5F" w:rsidRDefault="00825E5F" w:rsidP="009D19B5">
      <w:pPr>
        <w:shd w:val="clear" w:color="auto" w:fill="FFFFFF"/>
        <w:spacing w:after="0" w:line="293" w:lineRule="atLeast"/>
        <w:jc w:val="both"/>
        <w:rPr>
          <w:b/>
        </w:rPr>
      </w:pPr>
      <w:r w:rsidRPr="00825E5F">
        <w:rPr>
          <w:rFonts w:ascii="Arial" w:eastAsia="Times New Roman" w:hAnsi="Arial" w:cs="Arial"/>
          <w:b/>
          <w:noProof/>
          <w:color w:val="0C0C0C"/>
          <w:sz w:val="17"/>
          <w:szCs w:val="17"/>
          <w:lang w:eastAsia="fr-FR"/>
        </w:rPr>
        <w:drawing>
          <wp:anchor distT="0" distB="0" distL="114300" distR="114300" simplePos="0" relativeHeight="251628544" behindDoc="0" locked="0" layoutInCell="1" allowOverlap="1" wp14:anchorId="6ABFB92B" wp14:editId="1A0831A1">
            <wp:simplePos x="0" y="0"/>
            <wp:positionH relativeFrom="column">
              <wp:posOffset>2449830</wp:posOffset>
            </wp:positionH>
            <wp:positionV relativeFrom="paragraph">
              <wp:posOffset>80010</wp:posOffset>
            </wp:positionV>
            <wp:extent cx="930275" cy="385445"/>
            <wp:effectExtent l="0" t="0" r="3175" b="0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one 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FB918" w14:textId="6FBBFDE5" w:rsidR="004678F0" w:rsidRPr="00825E5F" w:rsidRDefault="00C03D9E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color w:val="0C0C0C"/>
          <w:sz w:val="17"/>
          <w:szCs w:val="17"/>
          <w:lang w:eastAsia="fr-FR"/>
        </w:rPr>
      </w:pPr>
      <w:r>
        <w:rPr>
          <w:rFonts w:ascii="Arial" w:hAnsi="Arial" w:cs="Arial"/>
          <w:b/>
          <w:bCs/>
          <w:noProof/>
          <w:color w:val="0C0C0C"/>
          <w:sz w:val="39"/>
          <w:szCs w:val="39"/>
          <w:lang w:eastAsia="fr-FR"/>
        </w:rPr>
        <w:drawing>
          <wp:anchor distT="0" distB="0" distL="114300" distR="114300" simplePos="0" relativeHeight="251713536" behindDoc="0" locked="0" layoutInCell="1" allowOverlap="1" wp14:anchorId="0A7E18F2" wp14:editId="0AC7F068">
            <wp:simplePos x="0" y="0"/>
            <wp:positionH relativeFrom="column">
              <wp:posOffset>-372431</wp:posOffset>
            </wp:positionH>
            <wp:positionV relativeFrom="paragraph">
              <wp:posOffset>59916</wp:posOffset>
            </wp:positionV>
            <wp:extent cx="736600" cy="528320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réé DPC BEONE 5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FB919" w14:textId="6D5689F5" w:rsidR="009E041D" w:rsidRPr="009E041D" w:rsidRDefault="009E041D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C0C0C"/>
          <w:sz w:val="18"/>
          <w:szCs w:val="18"/>
          <w:lang w:eastAsia="fr-FR"/>
        </w:rPr>
      </w:pP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 </w:t>
      </w:r>
    </w:p>
    <w:tbl>
      <w:tblPr>
        <w:tblW w:w="543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Inscriptions DPC"/>
      </w:tblPr>
      <w:tblGrid>
        <w:gridCol w:w="7885"/>
        <w:gridCol w:w="1962"/>
      </w:tblGrid>
      <w:tr w:rsidR="00C03D9E" w:rsidRPr="00C03D9E" w14:paraId="6ABFB91C" w14:textId="77777777" w:rsidTr="00C03D9E">
        <w:trPr>
          <w:trHeight w:val="255"/>
        </w:trPr>
        <w:tc>
          <w:tcPr>
            <w:tcW w:w="4004" w:type="pct"/>
            <w:tcMar>
              <w:top w:w="16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ABFB91A" w14:textId="2F0C4554" w:rsidR="00C03D9E" w:rsidRPr="00C03D9E" w:rsidRDefault="00C03D9E" w:rsidP="00C03D9E">
            <w:pPr>
              <w:jc w:val="center"/>
              <w:rPr>
                <w:b/>
                <w:color w:val="000000"/>
              </w:rPr>
            </w:pPr>
            <w:proofErr w:type="spellStart"/>
            <w:r w:rsidRPr="00C03D9E">
              <w:rPr>
                <w:b/>
                <w:sz w:val="18"/>
                <w:szCs w:val="20"/>
              </w:rPr>
              <w:t>SoFOG</w:t>
            </w:r>
            <w:proofErr w:type="spellEnd"/>
            <w:r w:rsidRPr="00C03D9E">
              <w:rPr>
                <w:b/>
                <w:sz w:val="18"/>
                <w:szCs w:val="20"/>
              </w:rPr>
              <w:t xml:space="preserve"> 2017 : </w:t>
            </w:r>
            <w:proofErr w:type="spellStart"/>
            <w:r w:rsidRPr="00C03D9E">
              <w:rPr>
                <w:b/>
                <w:sz w:val="18"/>
                <w:szCs w:val="20"/>
              </w:rPr>
              <w:t>DPC</w:t>
            </w:r>
            <w:proofErr w:type="spellEnd"/>
            <w:r w:rsidRPr="00C03D9E">
              <w:rPr>
                <w:b/>
                <w:sz w:val="18"/>
                <w:szCs w:val="20"/>
              </w:rPr>
              <w:t xml:space="preserve"> chirurgie du sujet âgé et cancer du pancréas</w:t>
            </w:r>
            <w:r w:rsidRPr="00C03D9E">
              <w:rPr>
                <w:rFonts w:ascii="Helvetica" w:hAnsi="Helvetica"/>
                <w:b/>
                <w:sz w:val="19"/>
                <w:szCs w:val="27"/>
                <w:shd w:val="clear" w:color="auto" w:fill="FFFFFF"/>
              </w:rPr>
              <w:t xml:space="preserve"> 73131700010-</w:t>
            </w:r>
            <w:proofErr w:type="spellStart"/>
            <w:r w:rsidRPr="00C03D9E">
              <w:rPr>
                <w:rFonts w:ascii="Helvetica" w:hAnsi="Helvetica"/>
                <w:b/>
                <w:sz w:val="19"/>
                <w:szCs w:val="27"/>
                <w:shd w:val="clear" w:color="auto" w:fill="FFFFFF"/>
              </w:rPr>
              <w:t>S1</w:t>
            </w:r>
            <w:proofErr w:type="spellEnd"/>
          </w:p>
        </w:tc>
        <w:tc>
          <w:tcPr>
            <w:tcW w:w="996" w:type="pct"/>
            <w:tcMar>
              <w:top w:w="165" w:type="dxa"/>
              <w:left w:w="300" w:type="dxa"/>
              <w:bottom w:w="255" w:type="dxa"/>
              <w:right w:w="300" w:type="dxa"/>
            </w:tcMar>
            <w:vAlign w:val="center"/>
            <w:hideMark/>
          </w:tcPr>
          <w:p w14:paraId="6ABFB91B" w14:textId="6D32CD3F" w:rsidR="00C03D9E" w:rsidRPr="00C03D9E" w:rsidRDefault="006224CE" w:rsidP="00C03D9E">
            <w:pPr>
              <w:spacing w:after="0" w:line="293" w:lineRule="atLeast"/>
              <w:ind w:left="-15" w:right="-160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3"/>
                <w:szCs w:val="24"/>
                <w:lang w:eastAsia="fr-FR"/>
              </w:rPr>
            </w:pPr>
            <w:hyperlink r:id="rId9" w:history="1">
              <w:r w:rsidR="00C03D9E" w:rsidRPr="00C03D9E">
                <w:rPr>
                  <w:rFonts w:ascii="Times New Roman" w:eastAsia="Times New Roman" w:hAnsi="Times New Roman" w:cs="Times New Roman"/>
                  <w:b/>
                  <w:bCs/>
                  <w:color w:val="0982C4"/>
                  <w:sz w:val="23"/>
                  <w:szCs w:val="24"/>
                  <w:lang w:eastAsia="fr-FR"/>
                </w:rPr>
                <w:t>S'INSCRIRE</w:t>
              </w:r>
            </w:hyperlink>
          </w:p>
        </w:tc>
      </w:tr>
    </w:tbl>
    <w:p w14:paraId="6ABFB91D" w14:textId="0385D6F0" w:rsidR="009D19B5" w:rsidRPr="0013398D" w:rsidRDefault="009D19B5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</w:pPr>
      <w:r w:rsidRPr="0013398D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>Que vous soyez hospitalier ou libéral, n</w:t>
      </w:r>
      <w:r w:rsidR="009E041D" w:rsidRPr="0013398D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>ous vous recommandons vivement</w:t>
      </w:r>
      <w:r w:rsidRPr="0013398D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> </w:t>
      </w:r>
      <w:r w:rsidR="009E041D" w:rsidRPr="0013398D">
        <w:rPr>
          <w:rFonts w:ascii="Arial" w:eastAsia="Times New Roman" w:hAnsi="Arial" w:cs="Arial"/>
          <w:b/>
          <w:color w:val="0C0C0C"/>
          <w:sz w:val="18"/>
          <w:szCs w:val="18"/>
          <w:lang w:eastAsia="fr-FR"/>
        </w:rPr>
        <w:t xml:space="preserve">de vous y inscrire avant le congrès. </w:t>
      </w:r>
    </w:p>
    <w:p w14:paraId="6ABFB91F" w14:textId="54EAD1D1" w:rsidR="00B54A93" w:rsidRPr="009E041D" w:rsidRDefault="00B54A93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C0C0C"/>
          <w:sz w:val="18"/>
          <w:szCs w:val="18"/>
          <w:lang w:eastAsia="fr-FR"/>
        </w:rPr>
      </w:pPr>
    </w:p>
    <w:p w14:paraId="6ABFB920" w14:textId="470D4599" w:rsidR="00B54A93" w:rsidRDefault="00193719" w:rsidP="009D19B5">
      <w:pPr>
        <w:shd w:val="clear" w:color="auto" w:fill="FFFFFF"/>
        <w:spacing w:after="0" w:line="293" w:lineRule="atLeast"/>
        <w:jc w:val="both"/>
        <w:outlineLvl w:val="2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  <w:bookmarkStart w:id="6" w:name="eztoc2217661_1_5"/>
      <w:bookmarkEnd w:id="6"/>
      <w:r>
        <w:rPr>
          <w:rFonts w:ascii="Arial" w:eastAsia="Times New Roman" w:hAnsi="Arial" w:cs="Arial"/>
          <w:color w:val="777777"/>
          <w:sz w:val="24"/>
          <w:szCs w:val="24"/>
          <w:lang w:eastAsia="fr-FR"/>
        </w:rPr>
        <w:t>MODALITÉ</w:t>
      </w:r>
      <w:r w:rsidR="00B54A93" w:rsidRPr="00B54A93">
        <w:rPr>
          <w:rFonts w:ascii="Arial" w:eastAsia="Times New Roman" w:hAnsi="Arial" w:cs="Arial"/>
          <w:color w:val="777777"/>
          <w:sz w:val="24"/>
          <w:szCs w:val="24"/>
          <w:lang w:eastAsia="fr-FR"/>
        </w:rPr>
        <w:t>S DE PRISE EN CHARGE.</w:t>
      </w:r>
    </w:p>
    <w:p w14:paraId="6ABFB921" w14:textId="77777777" w:rsidR="00B54A93" w:rsidRPr="00B54A93" w:rsidRDefault="00B54A93" w:rsidP="009D19B5">
      <w:pPr>
        <w:shd w:val="clear" w:color="auto" w:fill="FFFFFF"/>
        <w:spacing w:after="0" w:line="293" w:lineRule="atLeast"/>
        <w:jc w:val="both"/>
        <w:outlineLvl w:val="2"/>
        <w:rPr>
          <w:rFonts w:ascii="Arial" w:eastAsia="Times New Roman" w:hAnsi="Arial" w:cs="Arial"/>
          <w:color w:val="777777"/>
          <w:sz w:val="24"/>
          <w:szCs w:val="24"/>
          <w:lang w:eastAsia="fr-FR"/>
        </w:rPr>
      </w:pPr>
    </w:p>
    <w:p w14:paraId="6ABFB922" w14:textId="70C2D2E6" w:rsidR="001747D5" w:rsidRDefault="001747D5" w:rsidP="009D19B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C0C0C"/>
          <w:sz w:val="18"/>
          <w:szCs w:val="18"/>
        </w:rPr>
      </w:pPr>
      <w:r>
        <w:rPr>
          <w:rFonts w:ascii="Arial" w:hAnsi="Arial" w:cs="Arial"/>
          <w:color w:val="0C0C0C"/>
          <w:sz w:val="18"/>
          <w:szCs w:val="18"/>
        </w:rPr>
        <w:t xml:space="preserve">Que vous soyez hospitalier ou libéral, votre programme de </w:t>
      </w:r>
      <w:proofErr w:type="spellStart"/>
      <w:r>
        <w:rPr>
          <w:rFonts w:ascii="Arial" w:hAnsi="Arial" w:cs="Arial"/>
          <w:color w:val="0C0C0C"/>
          <w:sz w:val="18"/>
          <w:szCs w:val="18"/>
        </w:rPr>
        <w:t>DPC</w:t>
      </w:r>
      <w:proofErr w:type="spellEnd"/>
      <w:r>
        <w:rPr>
          <w:rFonts w:ascii="Arial" w:hAnsi="Arial" w:cs="Arial"/>
          <w:color w:val="0C0C0C"/>
          <w:sz w:val="18"/>
          <w:szCs w:val="18"/>
        </w:rPr>
        <w:t xml:space="preserve">  et l’entrée au congrès peuvent être intégralement prise en charge par votre </w:t>
      </w:r>
      <w:proofErr w:type="spellStart"/>
      <w:r>
        <w:rPr>
          <w:rFonts w:ascii="Arial" w:hAnsi="Arial" w:cs="Arial"/>
          <w:color w:val="0C0C0C"/>
          <w:sz w:val="18"/>
          <w:szCs w:val="18"/>
        </w:rPr>
        <w:t>OPCA</w:t>
      </w:r>
      <w:proofErr w:type="spellEnd"/>
      <w:r>
        <w:rPr>
          <w:rFonts w:ascii="Arial" w:hAnsi="Arial" w:cs="Arial"/>
          <w:color w:val="0C0C0C"/>
          <w:sz w:val="18"/>
          <w:szCs w:val="18"/>
        </w:rPr>
        <w:t>.</w:t>
      </w:r>
    </w:p>
    <w:p w14:paraId="6ABFB923" w14:textId="350E5CF2" w:rsidR="00B54A93" w:rsidRPr="00B54A93" w:rsidRDefault="00B54A93" w:rsidP="009D19B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C0C0C"/>
          <w:sz w:val="18"/>
          <w:szCs w:val="18"/>
        </w:rPr>
      </w:pPr>
      <w:r w:rsidRPr="00B54A93">
        <w:rPr>
          <w:rFonts w:ascii="Arial" w:hAnsi="Arial" w:cs="Arial"/>
          <w:color w:val="0C0C0C"/>
          <w:sz w:val="18"/>
          <w:szCs w:val="18"/>
        </w:rPr>
        <w:t xml:space="preserve">La prise en charge du programme incluant l'inscription au congrès et l'analyse des pratiques dans le cadre de votre parcours </w:t>
      </w:r>
      <w:proofErr w:type="spellStart"/>
      <w:r w:rsidRPr="00B54A93">
        <w:rPr>
          <w:rFonts w:ascii="Arial" w:hAnsi="Arial" w:cs="Arial"/>
          <w:color w:val="0C0C0C"/>
          <w:sz w:val="18"/>
          <w:szCs w:val="18"/>
        </w:rPr>
        <w:t>DPC</w:t>
      </w:r>
      <w:proofErr w:type="spellEnd"/>
      <w:r w:rsidRPr="00B54A93">
        <w:rPr>
          <w:rFonts w:ascii="Arial" w:hAnsi="Arial" w:cs="Arial"/>
          <w:color w:val="0C0C0C"/>
          <w:sz w:val="18"/>
          <w:szCs w:val="18"/>
        </w:rPr>
        <w:t xml:space="preserve"> dépend de votre mode d'exercice :</w:t>
      </w:r>
    </w:p>
    <w:p w14:paraId="6ABFB924" w14:textId="05C06251" w:rsidR="00B54A93" w:rsidRPr="00B54A93" w:rsidRDefault="00B54A93" w:rsidP="009D19B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C0C0C"/>
          <w:sz w:val="18"/>
          <w:szCs w:val="18"/>
        </w:rPr>
      </w:pPr>
      <w:r w:rsidRPr="00B54A93">
        <w:rPr>
          <w:rFonts w:ascii="Arial" w:hAnsi="Arial" w:cs="Arial"/>
          <w:b/>
          <w:bCs/>
          <w:color w:val="0C0C0C"/>
          <w:sz w:val="18"/>
          <w:szCs w:val="18"/>
        </w:rPr>
        <w:t>Pour les hospitaliers :</w:t>
      </w:r>
      <w:r w:rsidRPr="00B54A93">
        <w:rPr>
          <w:color w:val="0C0C0C"/>
          <w:sz w:val="18"/>
          <w:szCs w:val="18"/>
        </w:rPr>
        <w:t> </w:t>
      </w:r>
    </w:p>
    <w:p w14:paraId="6ABFB925" w14:textId="2B972485" w:rsidR="00B54A93" w:rsidRDefault="00B54A93" w:rsidP="009D19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C0C0C"/>
          <w:sz w:val="18"/>
          <w:szCs w:val="18"/>
          <w:lang w:eastAsia="fr-FR"/>
        </w:rPr>
      </w:pP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Le montant de l’inscription au programme </w:t>
      </w:r>
      <w:r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de </w:t>
      </w:r>
      <w:proofErr w:type="spellStart"/>
      <w:r>
        <w:rPr>
          <w:rFonts w:ascii="Arial" w:eastAsia="Times New Roman" w:hAnsi="Arial" w:cs="Arial"/>
          <w:color w:val="0C0C0C"/>
          <w:sz w:val="18"/>
          <w:szCs w:val="18"/>
          <w:lang w:eastAsia="fr-FR"/>
        </w:rPr>
        <w:t>DPC</w:t>
      </w:r>
      <w:proofErr w:type="spellEnd"/>
      <w:r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 </w:t>
      </w:r>
      <w:r w:rsidR="001747D5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(hors entrée au congrès) </w:t>
      </w: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est de </w:t>
      </w:r>
      <w:r w:rsidR="00C03D9E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250</w:t>
      </w:r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 xml:space="preserve"> € (il est pris en charge par votre établissement après accord préalable du service formation dans le cadre d’une convention de </w:t>
      </w:r>
      <w:proofErr w:type="spellStart"/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DPC</w:t>
      </w:r>
      <w:proofErr w:type="spellEnd"/>
      <w:r w:rsidRPr="009E041D">
        <w:rPr>
          <w:rFonts w:ascii="Arial" w:eastAsia="Times New Roman" w:hAnsi="Arial" w:cs="Arial"/>
          <w:color w:val="0C0C0C"/>
          <w:sz w:val="18"/>
          <w:szCs w:val="18"/>
          <w:lang w:eastAsia="fr-FR"/>
        </w:rPr>
        <w:t>). Selon la politique de votre établissement, une avance des frais est parfois nécessaire.</w:t>
      </w:r>
    </w:p>
    <w:p w14:paraId="6ABFB926" w14:textId="77777777" w:rsidR="00B54A93" w:rsidRDefault="00B54A93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C0C0C"/>
          <w:sz w:val="18"/>
          <w:szCs w:val="18"/>
          <w:lang w:eastAsia="fr-FR"/>
        </w:rPr>
      </w:pPr>
    </w:p>
    <w:p w14:paraId="223702F6" w14:textId="77777777" w:rsidR="00825E5F" w:rsidRPr="009E041D" w:rsidRDefault="00825E5F" w:rsidP="009D19B5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0C0C0C"/>
          <w:sz w:val="18"/>
          <w:szCs w:val="18"/>
          <w:lang w:eastAsia="fr-FR"/>
        </w:rPr>
      </w:pPr>
    </w:p>
    <w:p w14:paraId="6ABFB927" w14:textId="77777777" w:rsidR="001747D5" w:rsidRDefault="00B54A93" w:rsidP="009D19B5">
      <w:pPr>
        <w:pStyle w:val="NormalWeb"/>
        <w:spacing w:before="0" w:beforeAutospacing="0" w:after="150" w:afterAutospacing="0"/>
        <w:jc w:val="both"/>
        <w:rPr>
          <w:rFonts w:ascii="Arial" w:hAnsi="Arial" w:cs="Arial"/>
          <w:bCs/>
          <w:color w:val="0C0C0C"/>
          <w:sz w:val="18"/>
          <w:szCs w:val="18"/>
        </w:rPr>
      </w:pPr>
      <w:r w:rsidRPr="00182874">
        <w:rPr>
          <w:rFonts w:ascii="Arial" w:hAnsi="Arial" w:cs="Arial"/>
          <w:b/>
          <w:bCs/>
          <w:color w:val="0C0C0C"/>
          <w:sz w:val="18"/>
          <w:szCs w:val="18"/>
        </w:rPr>
        <w:t>Pour les libéraux</w:t>
      </w:r>
      <w:r w:rsidRPr="00182874">
        <w:rPr>
          <w:rFonts w:ascii="Arial" w:hAnsi="Arial" w:cs="Arial"/>
          <w:bCs/>
          <w:color w:val="0C0C0C"/>
          <w:sz w:val="18"/>
          <w:szCs w:val="18"/>
        </w:rPr>
        <w:t xml:space="preserve"> : </w:t>
      </w:r>
    </w:p>
    <w:p w14:paraId="6ABFB928" w14:textId="37E73D1E" w:rsidR="00B54A93" w:rsidRPr="00182874" w:rsidRDefault="001747D5" w:rsidP="009D19B5">
      <w:pPr>
        <w:pStyle w:val="NormalWeb"/>
        <w:spacing w:before="0" w:beforeAutospacing="0" w:after="150" w:afterAutospacing="0"/>
        <w:jc w:val="both"/>
        <w:rPr>
          <w:rFonts w:ascii="Arial" w:hAnsi="Arial" w:cs="Arial"/>
          <w:bCs/>
          <w:color w:val="0C0C0C"/>
          <w:sz w:val="18"/>
          <w:szCs w:val="18"/>
        </w:rPr>
      </w:pPr>
      <w:r>
        <w:rPr>
          <w:rFonts w:ascii="Arial" w:hAnsi="Arial" w:cs="Arial"/>
          <w:bCs/>
          <w:color w:val="0C0C0C"/>
          <w:sz w:val="18"/>
          <w:szCs w:val="18"/>
        </w:rPr>
        <w:t>L</w:t>
      </w:r>
      <w:r w:rsidR="00B54A93" w:rsidRPr="00182874">
        <w:rPr>
          <w:rFonts w:ascii="Arial" w:hAnsi="Arial" w:cs="Arial"/>
          <w:bCs/>
          <w:color w:val="0C0C0C"/>
          <w:sz w:val="18"/>
          <w:szCs w:val="18"/>
        </w:rPr>
        <w:t>e montant de l'inscription</w:t>
      </w:r>
      <w:r w:rsidR="00D362BF">
        <w:rPr>
          <w:rFonts w:ascii="Arial" w:hAnsi="Arial" w:cs="Arial"/>
          <w:bCs/>
          <w:color w:val="0C0C0C"/>
          <w:sz w:val="18"/>
          <w:szCs w:val="18"/>
        </w:rPr>
        <w:t xml:space="preserve"> incluant le montant de l’entrée au congrès</w:t>
      </w:r>
      <w:r w:rsidR="00B54A93" w:rsidRPr="00182874">
        <w:rPr>
          <w:rFonts w:ascii="Arial" w:hAnsi="Arial" w:cs="Arial"/>
          <w:bCs/>
          <w:color w:val="0C0C0C"/>
          <w:sz w:val="18"/>
          <w:szCs w:val="18"/>
        </w:rPr>
        <w:t xml:space="preserve"> </w:t>
      </w:r>
      <w:r w:rsidR="002D12FF">
        <w:rPr>
          <w:rFonts w:ascii="Arial" w:hAnsi="Arial" w:cs="Arial"/>
          <w:bCs/>
          <w:color w:val="0C0C0C"/>
          <w:sz w:val="18"/>
          <w:szCs w:val="18"/>
        </w:rPr>
        <w:t xml:space="preserve">est de </w:t>
      </w:r>
      <w:r w:rsidR="00C03D9E">
        <w:rPr>
          <w:rFonts w:ascii="Arial" w:hAnsi="Arial" w:cs="Arial"/>
          <w:bCs/>
          <w:color w:val="0C0C0C"/>
          <w:sz w:val="18"/>
          <w:szCs w:val="18"/>
        </w:rPr>
        <w:t>570</w:t>
      </w:r>
      <w:r w:rsidR="00C620BF">
        <w:rPr>
          <w:rFonts w:ascii="Arial" w:hAnsi="Arial" w:cs="Arial"/>
          <w:bCs/>
          <w:color w:val="0C0C0C"/>
          <w:sz w:val="18"/>
          <w:szCs w:val="18"/>
        </w:rPr>
        <w:t xml:space="preserve"> €</w:t>
      </w:r>
      <w:r w:rsidR="00D362BF">
        <w:rPr>
          <w:rFonts w:ascii="Arial" w:hAnsi="Arial" w:cs="Arial"/>
          <w:bCs/>
          <w:color w:val="0C0C0C"/>
          <w:sz w:val="18"/>
          <w:szCs w:val="18"/>
        </w:rPr>
        <w:t xml:space="preserve">. Il est </w:t>
      </w:r>
      <w:r w:rsidR="00B54A93" w:rsidRPr="00D362BF">
        <w:rPr>
          <w:rFonts w:ascii="Arial" w:hAnsi="Arial" w:cs="Arial"/>
          <w:bCs/>
          <w:color w:val="0C0C0C"/>
          <w:sz w:val="18"/>
          <w:szCs w:val="18"/>
        </w:rPr>
        <w:t xml:space="preserve"> pris en charge par l’</w:t>
      </w:r>
      <w:proofErr w:type="spellStart"/>
      <w:r w:rsidR="00B54A93" w:rsidRPr="00D362BF">
        <w:rPr>
          <w:rFonts w:ascii="Arial" w:hAnsi="Arial" w:cs="Arial"/>
          <w:bCs/>
          <w:color w:val="0C0C0C"/>
          <w:sz w:val="18"/>
          <w:szCs w:val="18"/>
        </w:rPr>
        <w:t>ANDPC</w:t>
      </w:r>
      <w:proofErr w:type="spellEnd"/>
      <w:r w:rsidR="00B54A93" w:rsidRPr="00D362BF">
        <w:rPr>
          <w:rFonts w:ascii="Arial" w:hAnsi="Arial" w:cs="Arial"/>
          <w:bCs/>
          <w:color w:val="0C0C0C"/>
          <w:sz w:val="18"/>
          <w:szCs w:val="18"/>
        </w:rPr>
        <w:t xml:space="preserve"> une fois le programme de </w:t>
      </w:r>
      <w:proofErr w:type="spellStart"/>
      <w:r w:rsidR="00B54A93" w:rsidRPr="00D362BF">
        <w:rPr>
          <w:rFonts w:ascii="Arial" w:hAnsi="Arial" w:cs="Arial"/>
          <w:bCs/>
          <w:color w:val="0C0C0C"/>
          <w:sz w:val="18"/>
          <w:szCs w:val="18"/>
        </w:rPr>
        <w:t>DPC</w:t>
      </w:r>
      <w:proofErr w:type="spellEnd"/>
      <w:r w:rsidR="00B54A93" w:rsidRPr="00D362BF">
        <w:rPr>
          <w:rFonts w:ascii="Arial" w:hAnsi="Arial" w:cs="Arial"/>
          <w:bCs/>
          <w:color w:val="0C0C0C"/>
          <w:sz w:val="18"/>
          <w:szCs w:val="18"/>
        </w:rPr>
        <w:t xml:space="preserve"> finalisé et validé. Seul un chèque de caution de </w:t>
      </w:r>
      <w:r w:rsidR="00C03D9E">
        <w:rPr>
          <w:rFonts w:ascii="Arial" w:hAnsi="Arial" w:cs="Arial"/>
          <w:bCs/>
          <w:color w:val="0C0C0C"/>
          <w:sz w:val="18"/>
          <w:szCs w:val="18"/>
        </w:rPr>
        <w:t>250</w:t>
      </w:r>
      <w:r w:rsidR="00B54A93" w:rsidRPr="00D362BF">
        <w:rPr>
          <w:rFonts w:ascii="Arial" w:hAnsi="Arial" w:cs="Arial"/>
          <w:bCs/>
          <w:color w:val="0C0C0C"/>
          <w:sz w:val="18"/>
          <w:szCs w:val="18"/>
        </w:rPr>
        <w:t xml:space="preserve"> € non</w:t>
      </w:r>
      <w:r w:rsidR="00B54A93" w:rsidRPr="00182874">
        <w:rPr>
          <w:rFonts w:ascii="Arial" w:hAnsi="Arial" w:cs="Arial"/>
          <w:bCs/>
          <w:color w:val="0C0C0C"/>
          <w:sz w:val="18"/>
          <w:szCs w:val="18"/>
        </w:rPr>
        <w:t xml:space="preserve"> encaissé vous sera demandé.</w:t>
      </w:r>
    </w:p>
    <w:p w14:paraId="6ABFB929" w14:textId="77777777" w:rsidR="00B54A93" w:rsidRPr="00B54A93" w:rsidRDefault="00B54A93" w:rsidP="009D19B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C0C0C"/>
          <w:sz w:val="18"/>
          <w:szCs w:val="18"/>
        </w:rPr>
      </w:pPr>
      <w:r w:rsidRPr="00B54A93">
        <w:rPr>
          <w:rFonts w:ascii="Arial" w:hAnsi="Arial" w:cs="Arial"/>
          <w:color w:val="0C0C0C"/>
          <w:sz w:val="18"/>
          <w:szCs w:val="18"/>
        </w:rPr>
        <w:t>INDEMNISATION SUPPLEMENTAIRE PAR L'</w:t>
      </w:r>
      <w:proofErr w:type="spellStart"/>
      <w:r w:rsidRPr="00B54A93">
        <w:rPr>
          <w:rFonts w:ascii="Arial" w:hAnsi="Arial" w:cs="Arial"/>
          <w:color w:val="0C0C0C"/>
          <w:sz w:val="18"/>
          <w:szCs w:val="18"/>
        </w:rPr>
        <w:t>OGDPC</w:t>
      </w:r>
      <w:proofErr w:type="spellEnd"/>
      <w:r w:rsidRPr="00B54A93">
        <w:rPr>
          <w:rFonts w:ascii="Arial" w:hAnsi="Arial" w:cs="Arial"/>
          <w:color w:val="0C0C0C"/>
          <w:sz w:val="18"/>
          <w:szCs w:val="18"/>
        </w:rPr>
        <w:t xml:space="preserve"> POUR LES PROFESSIONNELS LIBERAUX :</w:t>
      </w:r>
    </w:p>
    <w:p w14:paraId="6ABFB92A" w14:textId="010565E7" w:rsidR="00B54A93" w:rsidRPr="009D19B5" w:rsidRDefault="00B54A93" w:rsidP="009D19B5">
      <w:pPr>
        <w:pStyle w:val="NormalWeb"/>
        <w:spacing w:before="0" w:beforeAutospacing="0" w:after="150" w:afterAutospacing="0"/>
        <w:jc w:val="both"/>
        <w:rPr>
          <w:rFonts w:ascii="Arial" w:hAnsi="Arial" w:cs="Arial"/>
          <w:bCs/>
          <w:color w:val="0C0C0C"/>
          <w:sz w:val="18"/>
          <w:szCs w:val="18"/>
        </w:rPr>
      </w:pPr>
      <w:r w:rsidRPr="00D362BF">
        <w:rPr>
          <w:rFonts w:ascii="Arial" w:hAnsi="Arial" w:cs="Arial"/>
          <w:color w:val="0C0C0C"/>
          <w:sz w:val="18"/>
          <w:szCs w:val="18"/>
        </w:rPr>
        <w:lastRenderedPageBreak/>
        <w:t>Une fois le programme finalisé et validé,</w:t>
      </w:r>
      <w:r w:rsidRPr="00D362BF">
        <w:rPr>
          <w:color w:val="0C0C0C"/>
          <w:sz w:val="18"/>
          <w:szCs w:val="18"/>
        </w:rPr>
        <w:t> </w:t>
      </w:r>
      <w:r w:rsidRPr="00D362BF">
        <w:rPr>
          <w:rFonts w:ascii="Arial" w:hAnsi="Arial" w:cs="Arial"/>
          <w:bCs/>
          <w:color w:val="0C0C0C"/>
          <w:sz w:val="18"/>
          <w:szCs w:val="18"/>
        </w:rPr>
        <w:t>l’</w:t>
      </w:r>
      <w:proofErr w:type="spellStart"/>
      <w:r w:rsidRPr="00D362BF">
        <w:rPr>
          <w:rFonts w:ascii="Arial" w:hAnsi="Arial" w:cs="Arial"/>
          <w:bCs/>
          <w:color w:val="0C0C0C"/>
          <w:sz w:val="18"/>
          <w:szCs w:val="18"/>
        </w:rPr>
        <w:t>ANDPC</w:t>
      </w:r>
      <w:proofErr w:type="spellEnd"/>
      <w:r w:rsidRPr="00D362BF">
        <w:rPr>
          <w:rFonts w:ascii="Arial" w:hAnsi="Arial" w:cs="Arial"/>
          <w:bCs/>
          <w:color w:val="0C0C0C"/>
          <w:sz w:val="18"/>
          <w:szCs w:val="18"/>
        </w:rPr>
        <w:t xml:space="preserve"> vous verse directement une indemnité complémentaire </w:t>
      </w:r>
      <w:r w:rsidR="00C03D9E">
        <w:rPr>
          <w:rFonts w:ascii="Arial" w:hAnsi="Arial" w:cs="Arial"/>
          <w:bCs/>
          <w:color w:val="0C0C0C"/>
          <w:sz w:val="18"/>
          <w:szCs w:val="18"/>
        </w:rPr>
        <w:t>correspondant à 6</w:t>
      </w:r>
      <w:r w:rsidR="00C620BF">
        <w:rPr>
          <w:rFonts w:ascii="Arial" w:hAnsi="Arial" w:cs="Arial"/>
          <w:bCs/>
          <w:color w:val="0C0C0C"/>
          <w:sz w:val="18"/>
          <w:szCs w:val="18"/>
        </w:rPr>
        <w:t xml:space="preserve"> heures de </w:t>
      </w:r>
      <w:proofErr w:type="spellStart"/>
      <w:r w:rsidR="00C620BF">
        <w:rPr>
          <w:rFonts w:ascii="Arial" w:hAnsi="Arial" w:cs="Arial"/>
          <w:bCs/>
          <w:color w:val="0C0C0C"/>
          <w:sz w:val="18"/>
          <w:szCs w:val="18"/>
        </w:rPr>
        <w:t>DPC</w:t>
      </w:r>
      <w:proofErr w:type="spellEnd"/>
      <w:r w:rsidR="00193719">
        <w:rPr>
          <w:rFonts w:ascii="Arial" w:hAnsi="Arial" w:cs="Arial"/>
          <w:bCs/>
          <w:color w:val="0C0C0C"/>
          <w:sz w:val="18"/>
          <w:szCs w:val="18"/>
        </w:rPr>
        <w:t xml:space="preserve"> selon votre profession</w:t>
      </w:r>
      <w:r w:rsidR="002D12FF">
        <w:rPr>
          <w:rFonts w:ascii="Arial" w:hAnsi="Arial" w:cs="Arial"/>
          <w:bCs/>
          <w:color w:val="0C0C0C"/>
          <w:sz w:val="18"/>
          <w:szCs w:val="18"/>
        </w:rPr>
        <w:t xml:space="preserve">, dans la limite de votre </w:t>
      </w:r>
      <w:r w:rsidR="005B6C89">
        <w:rPr>
          <w:rFonts w:ascii="Arial" w:hAnsi="Arial" w:cs="Arial"/>
          <w:bCs/>
          <w:color w:val="0C0C0C"/>
          <w:sz w:val="18"/>
          <w:szCs w:val="18"/>
        </w:rPr>
        <w:t>enveloppe budgétaire</w:t>
      </w:r>
      <w:r w:rsidR="002D12FF">
        <w:rPr>
          <w:rFonts w:ascii="Arial" w:hAnsi="Arial" w:cs="Arial"/>
          <w:bCs/>
          <w:color w:val="0C0C0C"/>
          <w:sz w:val="18"/>
          <w:szCs w:val="18"/>
        </w:rPr>
        <w:t xml:space="preserve"> disponible (</w:t>
      </w:r>
      <w:proofErr w:type="spellStart"/>
      <w:r w:rsidR="002D12FF">
        <w:rPr>
          <w:rFonts w:ascii="Arial" w:hAnsi="Arial" w:cs="Arial"/>
          <w:bCs/>
          <w:color w:val="0C0C0C"/>
          <w:sz w:val="18"/>
          <w:szCs w:val="18"/>
        </w:rPr>
        <w:t>CF</w:t>
      </w:r>
      <w:proofErr w:type="spellEnd"/>
      <w:r w:rsidR="002D12FF">
        <w:rPr>
          <w:rFonts w:ascii="Arial" w:hAnsi="Arial" w:cs="Arial"/>
          <w:bCs/>
          <w:color w:val="0C0C0C"/>
          <w:sz w:val="18"/>
          <w:szCs w:val="18"/>
        </w:rPr>
        <w:t xml:space="preserve"> : </w:t>
      </w:r>
      <w:hyperlink r:id="rId10" w:history="1">
        <w:proofErr w:type="spellStart"/>
        <w:r w:rsidR="002D12FF" w:rsidRPr="0065074C">
          <w:rPr>
            <w:rStyle w:val="Lienhypertexte"/>
            <w:rFonts w:ascii="Arial" w:hAnsi="Arial" w:cs="Arial"/>
            <w:bCs/>
            <w:sz w:val="18"/>
            <w:szCs w:val="18"/>
          </w:rPr>
          <w:t>www.mondpc.fr</w:t>
        </w:r>
        <w:proofErr w:type="spellEnd"/>
      </w:hyperlink>
      <w:r w:rsidR="002D12FF">
        <w:rPr>
          <w:rFonts w:ascii="Arial" w:hAnsi="Arial" w:cs="Arial"/>
          <w:bCs/>
          <w:color w:val="0C0C0C"/>
          <w:sz w:val="18"/>
          <w:szCs w:val="18"/>
        </w:rPr>
        <w:t xml:space="preserve"> )</w:t>
      </w:r>
      <w:r w:rsidR="00C620BF">
        <w:rPr>
          <w:rFonts w:ascii="Arial" w:hAnsi="Arial" w:cs="Arial"/>
          <w:bCs/>
          <w:color w:val="0C0C0C"/>
          <w:sz w:val="18"/>
          <w:szCs w:val="18"/>
        </w:rPr>
        <w:t>.</w:t>
      </w:r>
    </w:p>
    <w:sectPr w:rsidR="00B54A93" w:rsidRPr="009D19B5" w:rsidSect="004678F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B9D"/>
    <w:multiLevelType w:val="multilevel"/>
    <w:tmpl w:val="0404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1503"/>
    <w:multiLevelType w:val="multilevel"/>
    <w:tmpl w:val="79E2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874CE"/>
    <w:multiLevelType w:val="multilevel"/>
    <w:tmpl w:val="A46C5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BF7A6D"/>
    <w:multiLevelType w:val="hybridMultilevel"/>
    <w:tmpl w:val="F1A29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16FC"/>
    <w:multiLevelType w:val="multilevel"/>
    <w:tmpl w:val="11F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278AC"/>
    <w:multiLevelType w:val="hybridMultilevel"/>
    <w:tmpl w:val="5EA2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51E67"/>
    <w:multiLevelType w:val="multilevel"/>
    <w:tmpl w:val="0AE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575EC"/>
    <w:multiLevelType w:val="multilevel"/>
    <w:tmpl w:val="67A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21FA2"/>
    <w:multiLevelType w:val="hybridMultilevel"/>
    <w:tmpl w:val="A21E09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596DBE"/>
    <w:multiLevelType w:val="hybridMultilevel"/>
    <w:tmpl w:val="D24AF7BA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52821E44"/>
    <w:multiLevelType w:val="multilevel"/>
    <w:tmpl w:val="91CCE8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5573AA1"/>
    <w:multiLevelType w:val="multilevel"/>
    <w:tmpl w:val="BF3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60B2B"/>
    <w:multiLevelType w:val="multilevel"/>
    <w:tmpl w:val="4CB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477EE"/>
    <w:multiLevelType w:val="multilevel"/>
    <w:tmpl w:val="8DFC91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64D628E"/>
    <w:multiLevelType w:val="hybridMultilevel"/>
    <w:tmpl w:val="38C43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D781C"/>
    <w:multiLevelType w:val="multilevel"/>
    <w:tmpl w:val="1BB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15DC0"/>
    <w:multiLevelType w:val="multilevel"/>
    <w:tmpl w:val="AC6E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2F71FB"/>
    <w:multiLevelType w:val="multilevel"/>
    <w:tmpl w:val="F3386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D86528E"/>
    <w:multiLevelType w:val="multilevel"/>
    <w:tmpl w:val="CBA2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18"/>
  </w:num>
  <w:num w:numId="10">
    <w:abstractNumId w:val="15"/>
  </w:num>
  <w:num w:numId="11">
    <w:abstractNumId w:val="8"/>
  </w:num>
  <w:num w:numId="12">
    <w:abstractNumId w:val="10"/>
  </w:num>
  <w:num w:numId="13">
    <w:abstractNumId w:val="17"/>
  </w:num>
  <w:num w:numId="14">
    <w:abstractNumId w:val="13"/>
  </w:num>
  <w:num w:numId="15">
    <w:abstractNumId w:val="2"/>
  </w:num>
  <w:num w:numId="16">
    <w:abstractNumId w:val="3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1D"/>
    <w:rsid w:val="00110633"/>
    <w:rsid w:val="0013398D"/>
    <w:rsid w:val="001747D5"/>
    <w:rsid w:val="00182874"/>
    <w:rsid w:val="00193719"/>
    <w:rsid w:val="00233B27"/>
    <w:rsid w:val="002D12FF"/>
    <w:rsid w:val="004678F0"/>
    <w:rsid w:val="004E2957"/>
    <w:rsid w:val="004E6487"/>
    <w:rsid w:val="005766A4"/>
    <w:rsid w:val="005B6C89"/>
    <w:rsid w:val="005C44BD"/>
    <w:rsid w:val="006224CE"/>
    <w:rsid w:val="0067548B"/>
    <w:rsid w:val="007B6614"/>
    <w:rsid w:val="007F7954"/>
    <w:rsid w:val="00812099"/>
    <w:rsid w:val="00825E5F"/>
    <w:rsid w:val="008361B4"/>
    <w:rsid w:val="00922D32"/>
    <w:rsid w:val="00992681"/>
    <w:rsid w:val="009D19B5"/>
    <w:rsid w:val="009E041D"/>
    <w:rsid w:val="00A1579A"/>
    <w:rsid w:val="00A2636F"/>
    <w:rsid w:val="00A27595"/>
    <w:rsid w:val="00A325BB"/>
    <w:rsid w:val="00A512E6"/>
    <w:rsid w:val="00AE3ABE"/>
    <w:rsid w:val="00B54A93"/>
    <w:rsid w:val="00B9378B"/>
    <w:rsid w:val="00C03D9E"/>
    <w:rsid w:val="00C122CB"/>
    <w:rsid w:val="00C2659E"/>
    <w:rsid w:val="00C620BF"/>
    <w:rsid w:val="00CF39FD"/>
    <w:rsid w:val="00D362BF"/>
    <w:rsid w:val="00DA6585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FB90D"/>
  <w15:docId w15:val="{32D93F28-B8D0-4261-A87F-2F2A4277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E0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E0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4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3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E04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E041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9E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E041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E041D"/>
  </w:style>
  <w:style w:type="character" w:customStyle="1" w:styleId="Titre4Car">
    <w:name w:val="Titre 4 Car"/>
    <w:basedOn w:val="Policepardfaut"/>
    <w:link w:val="Titre4"/>
    <w:uiPriority w:val="9"/>
    <w:semiHidden/>
    <w:rsid w:val="00B54A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ev">
    <w:name w:val="Strong"/>
    <w:basedOn w:val="Policepardfaut"/>
    <w:uiPriority w:val="22"/>
    <w:qFormat/>
    <w:rsid w:val="00B54A9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398D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C03D9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olor29">
    <w:name w:val="color_29"/>
    <w:basedOn w:val="Policepardfaut"/>
    <w:rsid w:val="00C0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</w:div>
      </w:divsChild>
    </w:div>
    <w:div w:id="117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onesant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dp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onesante.com/dpc-sofog-20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6E13-250F-4D3C-8176-B367372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DUCOS</dc:creator>
  <cp:lastModifiedBy>Aude EVRARD</cp:lastModifiedBy>
  <cp:revision>2</cp:revision>
  <dcterms:created xsi:type="dcterms:W3CDTF">2017-06-08T16:13:00Z</dcterms:created>
  <dcterms:modified xsi:type="dcterms:W3CDTF">2017-06-08T16:13:00Z</dcterms:modified>
</cp:coreProperties>
</file>